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B1D" w:rsidRPr="00F803CC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2D6B1D" w:rsidRPr="00F803CC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:rsidR="002D6B1D" w:rsidRPr="00F803CC" w:rsidRDefault="002D6B1D">
      <w:pPr>
        <w:pStyle w:val="10"/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B1D" w:rsidRPr="00F803CC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803CC" w:rsidRDefault="00F803CC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03C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</w:tblGrid>
      <w:tr w:rsidR="002D6B1D" w:rsidTr="00CB58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6B1D" w:rsidRPr="00E00C73" w:rsidRDefault="00D01A84" w:rsidP="00723D0F">
            <w:pPr>
              <w:pStyle w:val="10"/>
              <w:widowControl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1A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изменения в решение Совета депутатов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Тверской </w:t>
            </w:r>
            <w:r w:rsid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bookmarkStart w:id="0" w:name="_Hlk118207346"/>
            <w:r w:rsidR="00CB5837" w:rsidRP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10.10.2013 №153/2013</w:t>
            </w:r>
            <w:r w:rsid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B5837" w:rsidRP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Регламенте Совета депутатов муниципального округа </w:t>
            </w:r>
            <w:r w:rsid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</w:t>
            </w:r>
            <w:r w:rsidR="00CB5837" w:rsidRP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верской</w:t>
            </w:r>
            <w:r w:rsidR="00CB5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bookmarkEnd w:id="0"/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CB5837" w:rsidP="009B4A93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На основании части 13 статьи 12 Закона города Москвы от 6 ноября 2002 года № 56 «Об организации местного самоуправления в городе Москве»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:rsidR="00CB5837" w:rsidRPr="00CB5837" w:rsidRDefault="001D7BC8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5837" w:rsidRPr="00CB583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округа </w:t>
      </w:r>
      <w:r w:rsidR="00CB5837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CB5837" w:rsidRPr="00CB5837">
        <w:rPr>
          <w:rFonts w:ascii="Times New Roman" w:eastAsia="Times New Roman" w:hAnsi="Times New Roman" w:cs="Times New Roman"/>
          <w:sz w:val="28"/>
          <w:szCs w:val="28"/>
        </w:rPr>
        <w:t xml:space="preserve"> от 10.10.2013 №153/2013 «О Регламенте Совета депутатов муниципального округа Тверской», дополнив приложение к решению главой 3.1</w:t>
      </w:r>
      <w:r w:rsidR="00CB5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37" w:rsidRPr="00CB5837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«Глава 3.1. Процедура назначения главы администрации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Статья 8.1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1. Вопрос о назначении главы администрации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главы администрации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депутатов, но не позднее 30 дней со дня определения конкурсной комиссией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CB5837">
        <w:rPr>
          <w:rFonts w:ascii="Times New Roman" w:eastAsia="Times New Roman" w:hAnsi="Times New Roman" w:cs="Times New Roman"/>
          <w:sz w:val="28"/>
          <w:szCs w:val="28"/>
        </w:rPr>
        <w:t>в городе Москве (далее – конкурсная комиссия) результатов конкурса на замещение указанной должности (далее – конкурс).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2. Глава муниципального округа обеспечивает направление председателю конкурсной комиссии информацию о дате, времени и месте заседания Совета депутатов, на котором будет рассматриваться вопрос о назначении главы администрации, не 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средств почтовой связи или электронной почты 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lastRenderedPageBreak/>
        <w:t>3. Неявка кандидата без уважительных причин на заседание Совета депутатов является отказом кандидата от замещения должности главы администрации. Голосование по такому кандидату не проводится.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Уважительными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 признаются болезнь, командировка, семейные обстоятельства. О наличии уважительной причины кандидат с использованием средств почтовой, телефонной связи и (или) электронной почты должен проинформировать главу муниципального округа не позднее дня, предшествующего дню указанного заседания. В этом случае голосование по такому кандидату проводится.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4. 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5. На заседании Совета депутатов кандидатов, присутствующих на нем, представляет председатель конкурсной комиссии.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6. До начала проведения голосования кандидаты, присутствующие на заседании Совета депутатов, имеют право выступить. Продолжительность выступления одного кандидата не более 15 минут.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ответов на вопросы проводится открытое голосование по каждому кандидату, присутствующему на заседании Совета депутатов.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7. 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Указанное заявление отзыву и возврату не подлежит.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В случае если все кандидаты отозвали свои кандидатуры, Совет депутатов на ближайшем заседании принимает решение о конкурсе.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8. Назначенным на должность главы администрации считается кандидат,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9. 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10. 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 xml:space="preserve">11. 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</w:t>
      </w:r>
      <w:r w:rsidRPr="00CB5837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депутатов на этом же или на следующем заседании принимает решение о конкурсе.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12. Назначение главы администрации оформляется решением Совета депутатов о назначении главы администрации. Голосование по указанному решению не проводится.</w:t>
      </w:r>
    </w:p>
    <w:p w:rsidR="00CB5837" w:rsidRPr="00CB5837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13. Срок, в течение которого глава муниципального округа и лицо, назначенное на должность главы администрации, должны заключить контракт, устанавливается решением Совета депутатов.</w:t>
      </w:r>
    </w:p>
    <w:p w:rsidR="00895F41" w:rsidRDefault="00CB5837" w:rsidP="00CB5837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37">
        <w:rPr>
          <w:rFonts w:ascii="Times New Roman" w:eastAsia="Times New Roman" w:hAnsi="Times New Roman" w:cs="Times New Roman"/>
          <w:sz w:val="28"/>
          <w:szCs w:val="28"/>
        </w:rPr>
        <w:t>14. В случае представления в Совет депутатов или главе муниципального округа лицом, назначенным на должность главы администрации, письменного заявления об отказе от заключения контракта либо незаключении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муниципального округа о незаключении контракта принимает решения об отмене решения Совета депутатов о назначении главы администрации и о конкурсе.»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F41" w:rsidRDefault="00CB5837" w:rsidP="009B4A93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округа Тверской по адресу: www.adm-tver.ru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2B" w:rsidRDefault="00D2742B" w:rsidP="009B4A93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2" w:rsidRDefault="00627B82" w:rsidP="009B4A93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920B14" w:rsidP="009B4A93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614E7D" w:rsidRDefault="00920B14" w:rsidP="009B4A93">
      <w:pPr>
        <w:pStyle w:val="10"/>
        <w:widowControl/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r w:rsidR="00E1404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614E7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0F5" w:rsidRDefault="000650F5" w:rsidP="00105711">
      <w:r>
        <w:separator/>
      </w:r>
    </w:p>
  </w:endnote>
  <w:endnote w:type="continuationSeparator" w:id="0">
    <w:p w:rsidR="000650F5" w:rsidRDefault="000650F5" w:rsidP="0010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0F5" w:rsidRDefault="000650F5" w:rsidP="00105711">
      <w:r>
        <w:separator/>
      </w:r>
    </w:p>
  </w:footnote>
  <w:footnote w:type="continuationSeparator" w:id="0">
    <w:p w:rsidR="000650F5" w:rsidRDefault="000650F5" w:rsidP="0010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512AE"/>
    <w:rsid w:val="000650F5"/>
    <w:rsid w:val="00105711"/>
    <w:rsid w:val="00142E4F"/>
    <w:rsid w:val="00184E15"/>
    <w:rsid w:val="001C0796"/>
    <w:rsid w:val="001D7BC8"/>
    <w:rsid w:val="00221AEB"/>
    <w:rsid w:val="00243A5E"/>
    <w:rsid w:val="00245112"/>
    <w:rsid w:val="002A7190"/>
    <w:rsid w:val="002D6B1D"/>
    <w:rsid w:val="00452B97"/>
    <w:rsid w:val="0048237B"/>
    <w:rsid w:val="00482E0C"/>
    <w:rsid w:val="00483CD7"/>
    <w:rsid w:val="00497048"/>
    <w:rsid w:val="004B6969"/>
    <w:rsid w:val="004D4010"/>
    <w:rsid w:val="0058030D"/>
    <w:rsid w:val="005A0D35"/>
    <w:rsid w:val="005E64C4"/>
    <w:rsid w:val="00614E7D"/>
    <w:rsid w:val="00627B82"/>
    <w:rsid w:val="00680D1E"/>
    <w:rsid w:val="00723D0F"/>
    <w:rsid w:val="00771457"/>
    <w:rsid w:val="007A5599"/>
    <w:rsid w:val="00813FFE"/>
    <w:rsid w:val="0086717C"/>
    <w:rsid w:val="00874047"/>
    <w:rsid w:val="00895F41"/>
    <w:rsid w:val="008E438C"/>
    <w:rsid w:val="008F546F"/>
    <w:rsid w:val="00920B14"/>
    <w:rsid w:val="00945949"/>
    <w:rsid w:val="00976056"/>
    <w:rsid w:val="009967DD"/>
    <w:rsid w:val="009B4A93"/>
    <w:rsid w:val="009F33C4"/>
    <w:rsid w:val="00AB2402"/>
    <w:rsid w:val="00C4750D"/>
    <w:rsid w:val="00C85F45"/>
    <w:rsid w:val="00CB5837"/>
    <w:rsid w:val="00D01A84"/>
    <w:rsid w:val="00D2742B"/>
    <w:rsid w:val="00D5147B"/>
    <w:rsid w:val="00D8149C"/>
    <w:rsid w:val="00E00C73"/>
    <w:rsid w:val="00E14043"/>
    <w:rsid w:val="00E32295"/>
    <w:rsid w:val="00E9765E"/>
    <w:rsid w:val="00ED68FF"/>
    <w:rsid w:val="00F42E70"/>
    <w:rsid w:val="00F46170"/>
    <w:rsid w:val="00F7385E"/>
    <w:rsid w:val="00F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9AF"/>
  <w15:chartTrackingRefBased/>
  <w15:docId w15:val="{D73A908A-17B8-4226-B332-2264513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basedOn w:val="a0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b">
    <w:name w:val="footnote text"/>
    <w:basedOn w:val="a"/>
    <w:link w:val="ac"/>
    <w:semiHidden/>
    <w:rsid w:val="0010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c">
    <w:name w:val="Текст сноски Знак"/>
    <w:basedOn w:val="a0"/>
    <w:link w:val="ab"/>
    <w:semiHidden/>
    <w:rsid w:val="00105711"/>
    <w:rPr>
      <w:rFonts w:eastAsia="Times New Roman"/>
    </w:rPr>
  </w:style>
  <w:style w:type="character" w:styleId="ad">
    <w:name w:val="footnote reference"/>
    <w:semiHidden/>
    <w:rsid w:val="0010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2020-12-01T06:16:00Z</cp:lastPrinted>
  <dcterms:created xsi:type="dcterms:W3CDTF">2022-11-16T15:04:00Z</dcterms:created>
  <dcterms:modified xsi:type="dcterms:W3CDTF">2022-11-16T15:04:00Z</dcterms:modified>
</cp:coreProperties>
</file>