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5C6A" w14:textId="77777777" w:rsidR="00E23AB6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</w:t>
      </w:r>
      <w:r w:rsidR="00E23A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23AB6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</w:p>
    <w:p w14:paraId="2E819E1D" w14:textId="77777777" w:rsidR="00E23AB6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AB6">
        <w:rPr>
          <w:rFonts w:ascii="Times New Roman" w:eastAsia="Times New Roman" w:hAnsi="Times New Roman" w:cs="Times New Roman"/>
          <w:sz w:val="24"/>
          <w:szCs w:val="24"/>
        </w:rPr>
        <w:tab/>
      </w:r>
      <w:r w:rsidR="00E23AB6">
        <w:rPr>
          <w:rFonts w:ascii="Times New Roman" w:eastAsia="Times New Roman" w:hAnsi="Times New Roman" w:cs="Times New Roman"/>
          <w:sz w:val="24"/>
          <w:szCs w:val="24"/>
        </w:rPr>
        <w:tab/>
      </w:r>
      <w:r w:rsidR="00E23AB6">
        <w:rPr>
          <w:rFonts w:ascii="Times New Roman" w:eastAsia="Times New Roman" w:hAnsi="Times New Roman" w:cs="Times New Roman"/>
          <w:sz w:val="24"/>
          <w:szCs w:val="24"/>
        </w:rPr>
        <w:tab/>
      </w:r>
      <w:r w:rsidR="00E23AB6">
        <w:rPr>
          <w:rFonts w:ascii="Times New Roman" w:eastAsia="Times New Roman" w:hAnsi="Times New Roman" w:cs="Times New Roman"/>
          <w:sz w:val="24"/>
          <w:szCs w:val="24"/>
        </w:rPr>
        <w:tab/>
      </w:r>
      <w:r w:rsidR="00E23AB6">
        <w:rPr>
          <w:rFonts w:ascii="Times New Roman" w:eastAsia="Times New Roman" w:hAnsi="Times New Roman" w:cs="Times New Roman"/>
          <w:sz w:val="24"/>
          <w:szCs w:val="24"/>
        </w:rPr>
        <w:tab/>
      </w:r>
      <w:r w:rsidR="00E23A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E23AB6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округа </w:t>
      </w:r>
    </w:p>
    <w:p w14:paraId="1A6FA632" w14:textId="5B6D2853" w:rsidR="002D6B1D" w:rsidRDefault="00E23AB6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Тверской 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69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22</w:t>
      </w:r>
    </w:p>
    <w:p w14:paraId="3A49340F" w14:textId="4BA21B2B" w:rsidR="00413078" w:rsidRDefault="00413078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4DDDCC83" w14:textId="77777777" w:rsidR="00E35ED0" w:rsidRDefault="00E35ED0" w:rsidP="00E35ED0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удовлетворения</w:t>
      </w: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протеста Тверской межрайонной прокуратуры </w:t>
      </w:r>
    </w:p>
    <w:p w14:paraId="50FB9721" w14:textId="77777777" w:rsidR="00E35ED0" w:rsidRDefault="00E35ED0" w:rsidP="00E35ED0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89124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МО Тверской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91240">
        <w:rPr>
          <w:rFonts w:ascii="Times New Roman" w:eastAsia="Times New Roman" w:hAnsi="Times New Roman" w:cs="Times New Roman"/>
          <w:b/>
          <w:sz w:val="24"/>
          <w:szCs w:val="24"/>
        </w:rPr>
        <w:t xml:space="preserve">9.10.2014 согласно выписке </w:t>
      </w:r>
    </w:p>
    <w:p w14:paraId="5EE1A926" w14:textId="77777777" w:rsidR="00E35ED0" w:rsidRDefault="00E35ED0" w:rsidP="00E35ED0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40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54 из раздела «Установка ограждающих устройств» </w:t>
      </w:r>
    </w:p>
    <w:p w14:paraId="122300AE" w14:textId="77777777" w:rsidR="00E35ED0" w:rsidRPr="00413078" w:rsidRDefault="00E35ED0" w:rsidP="00E35ED0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40">
        <w:rPr>
          <w:rFonts w:ascii="Times New Roman" w:eastAsia="Times New Roman" w:hAnsi="Times New Roman" w:cs="Times New Roman"/>
          <w:b/>
          <w:sz w:val="24"/>
          <w:szCs w:val="24"/>
        </w:rPr>
        <w:t>по адресу: ул. Чаянова, д.10, стр. 1 от 24.05.2019 №7-1-2019</w:t>
      </w:r>
    </w:p>
    <w:p w14:paraId="63DDDFF0" w14:textId="77777777" w:rsidR="00E35ED0" w:rsidRPr="00413078" w:rsidRDefault="00E35ED0" w:rsidP="00E35ED0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4D407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В протесте Тверской межрайонной прокуратуры указывается на необходимость отмены Решения Совета депутатов МО Тверской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9.10.2014 согласно выписке из протокола № 54 из раздела «Установка ограждающих устройств» по адресу: ул. Чаянова, д.10, стр. 1 (далее – Решение) в связи с нарушением требований п. 4 постановления Правительства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.07.2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013 N 428-ПП (далее – Постановление) в части не предоставления протоколов общих собраний собственников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домов по адресам ул. 4</w:t>
      </w:r>
      <w:r>
        <w:rPr>
          <w:rFonts w:ascii="Times New Roman" w:eastAsia="Times New Roman" w:hAnsi="Times New Roman" w:cs="Times New Roman"/>
          <w:sz w:val="28"/>
          <w:szCs w:val="28"/>
        </w:rPr>
        <w:t>-я Тверская-Ямская, 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22,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я Тверская-Ямская, д.22 к.2,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я Тверская-Ямская, д.24, 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я Тверская-Ямская, д.26/8, ул. Чаянова, д.8, ул. Фадеева, д.7 стр.3, доступ к придомовым территориям которых ограничивается согласовываемым ограждающими устройствами.</w:t>
      </w:r>
      <w:proofErr w:type="gramEnd"/>
    </w:p>
    <w:p w14:paraId="52A6E237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На протяжении 2013-2014 годов в Совет депутатов поступили следующие обращения от жителей домов квартала 684 Тверского района по поводу согласования установки ограждающих устрой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иложениями соответствующих протоколов общих собраний и проектов установки:</w:t>
      </w:r>
    </w:p>
    <w:p w14:paraId="6741315E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26.12.2013 – дома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, д.22,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0FD7BD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24.07.2014 – дом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, д.26/8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D4396A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13.08.2014 – дом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AB637D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- от 29.08.2014 – дома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д.12, ул. Фадеева д.7 к</w:t>
      </w:r>
      <w:r>
        <w:rPr>
          <w:rFonts w:ascii="Times New Roman" w:eastAsia="Times New Roman" w:hAnsi="Times New Roman" w:cs="Times New Roman"/>
          <w:sz w:val="28"/>
          <w:szCs w:val="28"/>
        </w:rPr>
        <w:t>.1,2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3146CEE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05.09.2014 – дома ул. Фадеева, д.7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2, д.7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дополненное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обращением от 22.09.2014 от дома ул. Фадеева д.7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3BAFB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В упомянутых обращениях жители домов квартала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независимо друг от друга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просили согласовать установку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связанных между собой ограждающих устройств, как на различных въездах на территорию квартала с УДС, так и на внутриквартальных проездах. </w:t>
      </w:r>
    </w:p>
    <w:p w14:paraId="114904D4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Места установки внутриквартальных ограждений стали причиной серьезного конфликта между жителями квартала, поэтому 16.09.2014 года состоялась встреча муниципальных депутатов с жителями района, на которой присутствовали представители всех вышеназванных домов квартала. По итогам встречи было принято решение установить ограждающие устройства по периметру квартала, рекомендовать впоследствии демонтировать внутриквартальные ограждающие устройства.</w:t>
      </w:r>
    </w:p>
    <w:p w14:paraId="394B0418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0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9.10.2014 рассматривались все вышеуказанные обращения, по каждому из них было принято решение о согласовании лишь тех ограждающих устройств, которые находятся по периметру квартала.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В частности, по обращению жителей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омов по адресам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ул. Чаянова, 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д.12, ул. Фадеева д.7 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1,2,3, были согласованы все запрошенные жителями этих домов ограждающие устройства,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в арке дома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1, между домами 9 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3, домами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1, домами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 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 по ул. Фадеева. При этом в протокол заседания Совета ошибочно был вписан адрес только одного дома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 с указанием, что согласовывается установка ограждающих устройств по периметру всего квартала. </w:t>
      </w:r>
    </w:p>
    <w:p w14:paraId="0DE8E6B6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остальные дома квартала (включая дома 22,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2, 24, 26/8 по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), имеют самостоятельные въезды на свои придомовые территории, вышеуказанные ограждающие устройства не выполняют функцию регулирования въезда и выезда на их придомовые территории, поэтому решения собственников данных домов для согласования установки не требуется.</w:t>
      </w:r>
    </w:p>
    <w:p w14:paraId="3AE78D5D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, необходимо исправить допущенную при составлении протокола заседания ошибку, изложив текст решения в новой редакции.</w:t>
      </w:r>
    </w:p>
    <w:p w14:paraId="6026F9EE" w14:textId="77777777" w:rsidR="00E35ED0" w:rsidRPr="00382157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F14CC" w14:textId="77777777" w:rsidR="00E35ED0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Дополнительно необходимо отметить, что в ходе ра</w:t>
      </w:r>
      <w:r>
        <w:rPr>
          <w:rFonts w:ascii="Times New Roman" w:eastAsia="Times New Roman" w:hAnsi="Times New Roman" w:cs="Times New Roman"/>
          <w:sz w:val="28"/>
          <w:szCs w:val="28"/>
        </w:rPr>
        <w:t>ссмотрения протеста прокуратуры депутатом С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овета 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утатов МО Тверской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Боженовым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Ю., главой МО Тверской Якубовичем Я.Б. был проведен ряд встреч с жителями домов квартала, на которых было установлено, что в настоящее время доступ на территорию домов по адресу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12, ул. Фадеева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3 для автотранспорта посторонних лиц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. Жителями домов разработан и используется Порядок въезда транспортных средств на придомовую территорию, в настоящее время проводится подготовка к его утверждению на общих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вышеуказанных домов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DDC12F" w14:textId="77777777" w:rsidR="00E35ED0" w:rsidRDefault="00E35ED0" w:rsidP="00E35ED0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7195B" w14:textId="5E0878CC" w:rsidR="009F7E97" w:rsidRPr="003F0882" w:rsidRDefault="009F7E97" w:rsidP="00E35ED0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F7E97" w:rsidRPr="003F088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5258C"/>
    <w:rsid w:val="002553D9"/>
    <w:rsid w:val="00272A23"/>
    <w:rsid w:val="00285E71"/>
    <w:rsid w:val="0029308C"/>
    <w:rsid w:val="002B4296"/>
    <w:rsid w:val="002C23FA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23AB6"/>
    <w:rsid w:val="00E31D9F"/>
    <w:rsid w:val="00E32763"/>
    <w:rsid w:val="00E35122"/>
    <w:rsid w:val="00E35ED0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FBF5-ECC2-4580-8316-1C60CA3C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2019-06-17T08:48:00Z</cp:lastPrinted>
  <dcterms:created xsi:type="dcterms:W3CDTF">2019-06-19T12:45:00Z</dcterms:created>
  <dcterms:modified xsi:type="dcterms:W3CDTF">2019-06-20T05:28:00Z</dcterms:modified>
</cp:coreProperties>
</file>