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E0" w:rsidRDefault="008156E0" w:rsidP="008156E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8156E0" w:rsidRDefault="008156E0" w:rsidP="008156E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ТВЕРСКОЙ</w:t>
      </w:r>
      <w:proofErr w:type="gramEnd"/>
    </w:p>
    <w:p w:rsidR="008156E0" w:rsidRDefault="008156E0" w:rsidP="008156E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8156E0" w:rsidRDefault="008156E0" w:rsidP="008156E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56E0" w:rsidRDefault="008156E0" w:rsidP="008156E0">
      <w:pPr>
        <w:pStyle w:val="a3"/>
        <w:rPr>
          <w:rStyle w:val="3"/>
          <w:rFonts w:eastAsia="Calibri"/>
          <w:sz w:val="22"/>
          <w:szCs w:val="22"/>
        </w:rPr>
      </w:pPr>
      <w:r>
        <w:rPr>
          <w:rStyle w:val="3"/>
          <w:rFonts w:eastAsia="Calibri"/>
          <w:sz w:val="22"/>
          <w:szCs w:val="22"/>
        </w:rPr>
        <w:t xml:space="preserve"> 26.05.2016  №  672/2016</w:t>
      </w:r>
    </w:p>
    <w:p w:rsidR="008156E0" w:rsidRDefault="008156E0" w:rsidP="008156E0">
      <w:pPr>
        <w:pStyle w:val="a3"/>
        <w:rPr>
          <w:rStyle w:val="3"/>
          <w:rFonts w:eastAsia="Calibri"/>
          <w:sz w:val="22"/>
          <w:szCs w:val="22"/>
        </w:rPr>
      </w:pPr>
    </w:p>
    <w:p w:rsidR="008156E0" w:rsidRDefault="008156E0" w:rsidP="008156E0">
      <w:pPr>
        <w:jc w:val="center"/>
      </w:pPr>
    </w:p>
    <w:p w:rsidR="008156E0" w:rsidRPr="008156E0" w:rsidRDefault="008156E0" w:rsidP="008156E0"/>
    <w:tbl>
      <w:tblPr>
        <w:tblStyle w:val="a4"/>
        <w:tblW w:w="0" w:type="auto"/>
        <w:tblInd w:w="20" w:type="dxa"/>
        <w:tblLook w:val="04A0"/>
      </w:tblPr>
      <w:tblGrid>
        <w:gridCol w:w="4199"/>
      </w:tblGrid>
      <w:tr w:rsidR="008156E0" w:rsidTr="005D06C2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6E0" w:rsidRDefault="008156E0" w:rsidP="005D06C2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 частичном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8156E0" w:rsidRDefault="008156E0" w:rsidP="008156E0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8156E0" w:rsidRDefault="008156E0" w:rsidP="00815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ЦАО города Москвы </w:t>
      </w:r>
      <w:r>
        <w:rPr>
          <w:rFonts w:ascii="Times New Roman" w:hAnsi="Times New Roman"/>
          <w:sz w:val="22"/>
          <w:szCs w:val="22"/>
        </w:rPr>
        <w:t>от 06.05.2016 № ЦАО-14-38-665/6, от 06.05.2016 № ЦАО-14-38-702/6, от 06.05.2016 № ЦАО-14-38-674/6, от 06.05.2016 № ЦАО-1438-717/6, от 06.05.2016 №  ЦАО-14-38-675/6, от 12.05.2016 № ЦАО-14-38-575/6, от 12.05.2016 № ЦАО-14-38-574/6, от 12.05.2016 № ЦАО-14-38-580/6, от 12.05.2016 № ЦАО-14-38-800/6, от12.05.2016 № ЦАО-14-38-741/6, от 12.05.2016 № ЦАО-14-38-1009/6, от 12.05.2016 № ЦАО-14-38-772/6, от 12.05.2016 № ЦАО-14-38-796/6, от 12.05.2016 № ЦАО-14-38-733/6, от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12.05.2016 № ЦАО-14-38-576/6, от 13.05.2016 № ЦАО-14-38-1002/6, от 13.05.2016 № ЦАО-14-38-1006/6, от 13.05.2016 № ЦАО-14-38-1119/6, от 13.05.2016 № ЦАО-14-38-724/6, от13.05.2016 № ЦАО-14-38-765/6, от 13.05.2016 № ЦАО-14-38-775/6, от 13.05.2016 № ЦАО-14-38-613/6, от 13.05.2016 № ЦАО-14-38-1096/6, от 16.05.2016 № ЦАО-14-38-1065/6, от 16.05.2016 № ЦАО-14-38-1084/6, от 19.05.2016 № ЦАО-14-38-1067/6, от 20.05.2016 № ЦАО-14-38-1209/6, от 20.05.2016 № ЦАО-14-38-1206/6   </w:t>
      </w:r>
      <w:r w:rsidRPr="005B0A6F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8156E0" w:rsidRDefault="008156E0" w:rsidP="008156E0"/>
    <w:p w:rsidR="008156E0" w:rsidRDefault="008156E0" w:rsidP="008156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Согласовать  проект  изменения схемы размещения сезонных кафе на территории района в части размещения сезонных кафе при стационарных предприятиях общественного питания, расположенных по адресам:</w:t>
      </w:r>
    </w:p>
    <w:p w:rsidR="008156E0" w:rsidRPr="001C00C8" w:rsidRDefault="008156E0" w:rsidP="008156E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C8">
        <w:rPr>
          <w:rFonts w:ascii="Times New Roman" w:hAnsi="Times New Roman" w:cs="Times New Roman"/>
          <w:sz w:val="24"/>
          <w:szCs w:val="24"/>
        </w:rPr>
        <w:t xml:space="preserve">-  4-я </w:t>
      </w:r>
      <w:proofErr w:type="gramStart"/>
      <w:r w:rsidRPr="001C00C8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Pr="001C00C8">
        <w:rPr>
          <w:rFonts w:ascii="Times New Roman" w:hAnsi="Times New Roman" w:cs="Times New Roman"/>
          <w:sz w:val="24"/>
          <w:szCs w:val="24"/>
        </w:rPr>
        <w:t xml:space="preserve"> – Ямская ул., д.13 </w:t>
      </w:r>
      <w:r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1C00C8">
        <w:rPr>
          <w:rFonts w:ascii="Times New Roman" w:hAnsi="Times New Roman" w:cs="Times New Roman"/>
          <w:sz w:val="24"/>
          <w:szCs w:val="24"/>
        </w:rPr>
        <w:t xml:space="preserve"> площадью 30 кв.м.;</w:t>
      </w:r>
    </w:p>
    <w:p w:rsidR="008156E0" w:rsidRPr="001C00C8" w:rsidRDefault="008156E0" w:rsidP="008156E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00C8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Pr="001C00C8">
        <w:rPr>
          <w:rFonts w:ascii="Times New Roman" w:hAnsi="Times New Roman" w:cs="Times New Roman"/>
          <w:sz w:val="24"/>
          <w:szCs w:val="24"/>
        </w:rPr>
        <w:t xml:space="preserve"> ул., д.12 (ООО «</w:t>
      </w:r>
      <w:r>
        <w:rPr>
          <w:rFonts w:ascii="Times New Roman" w:hAnsi="Times New Roman" w:cs="Times New Roman"/>
          <w:sz w:val="24"/>
          <w:szCs w:val="24"/>
        </w:rPr>
        <w:t>ДУХЛЕСС-БАР»)</w:t>
      </w:r>
      <w:r w:rsidRPr="001C00C8">
        <w:rPr>
          <w:rFonts w:ascii="Times New Roman" w:hAnsi="Times New Roman" w:cs="Times New Roman"/>
          <w:sz w:val="24"/>
          <w:szCs w:val="24"/>
        </w:rPr>
        <w:t xml:space="preserve"> площадью 30 кв.м.;</w:t>
      </w:r>
    </w:p>
    <w:p w:rsidR="008156E0" w:rsidRPr="001C00C8" w:rsidRDefault="008156E0" w:rsidP="008156E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00C8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1C00C8">
        <w:rPr>
          <w:rFonts w:ascii="Times New Roman" w:hAnsi="Times New Roman" w:cs="Times New Roman"/>
          <w:sz w:val="24"/>
          <w:szCs w:val="24"/>
        </w:rPr>
        <w:t xml:space="preserve"> ул., д.43 (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АнВиАн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1C00C8">
        <w:rPr>
          <w:rFonts w:ascii="Times New Roman" w:hAnsi="Times New Roman" w:cs="Times New Roman"/>
          <w:sz w:val="24"/>
          <w:szCs w:val="24"/>
        </w:rPr>
        <w:t xml:space="preserve"> площадью 17,5 кв.м.;</w:t>
      </w:r>
    </w:p>
    <w:p w:rsidR="008156E0" w:rsidRPr="001C00C8" w:rsidRDefault="008156E0" w:rsidP="008156E0">
      <w:pPr>
        <w:jc w:val="both"/>
        <w:rPr>
          <w:rFonts w:ascii="Times New Roman" w:hAnsi="Times New Roman" w:cs="Times New Roman"/>
          <w:sz w:val="24"/>
          <w:szCs w:val="24"/>
        </w:rPr>
      </w:pPr>
      <w:r w:rsidRPr="001C00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00C8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1C00C8">
        <w:rPr>
          <w:rFonts w:ascii="Times New Roman" w:hAnsi="Times New Roman" w:cs="Times New Roman"/>
          <w:sz w:val="24"/>
          <w:szCs w:val="24"/>
        </w:rPr>
        <w:t xml:space="preserve"> – Самотечная ул., д.1/15 </w:t>
      </w:r>
      <w:r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Крайс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1C00C8">
        <w:rPr>
          <w:rFonts w:ascii="Times New Roman" w:hAnsi="Times New Roman" w:cs="Times New Roman"/>
          <w:sz w:val="24"/>
          <w:szCs w:val="24"/>
        </w:rPr>
        <w:t xml:space="preserve"> площадью 15 кв.м.;</w:t>
      </w:r>
    </w:p>
    <w:p w:rsidR="008156E0" w:rsidRPr="003557D1" w:rsidRDefault="008156E0" w:rsidP="008156E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57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57D1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Pr="003557D1">
        <w:rPr>
          <w:rFonts w:ascii="Times New Roman" w:hAnsi="Times New Roman" w:cs="Times New Roman"/>
          <w:sz w:val="24"/>
          <w:szCs w:val="24"/>
        </w:rPr>
        <w:t xml:space="preserve"> ул., д.17</w:t>
      </w:r>
      <w:r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Угус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3557D1">
        <w:rPr>
          <w:rFonts w:ascii="Times New Roman" w:hAnsi="Times New Roman" w:cs="Times New Roman"/>
          <w:sz w:val="24"/>
          <w:szCs w:val="24"/>
        </w:rPr>
        <w:t xml:space="preserve"> площадью 27,1 кв.м.;</w:t>
      </w:r>
    </w:p>
    <w:p w:rsidR="008156E0" w:rsidRPr="003557D1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7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57D1">
        <w:rPr>
          <w:rFonts w:ascii="Times New Roman" w:hAnsi="Times New Roman" w:cs="Times New Roman"/>
          <w:sz w:val="24"/>
          <w:szCs w:val="24"/>
        </w:rPr>
        <w:t>Новослободская</w:t>
      </w:r>
      <w:proofErr w:type="spellEnd"/>
      <w:r w:rsidRPr="003557D1">
        <w:rPr>
          <w:rFonts w:ascii="Times New Roman" w:hAnsi="Times New Roman" w:cs="Times New Roman"/>
          <w:sz w:val="24"/>
          <w:szCs w:val="24"/>
        </w:rPr>
        <w:t xml:space="preserve"> ул., д.50/1, стр.2 (ООО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Хмельторг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3557D1">
        <w:rPr>
          <w:rFonts w:ascii="Times New Roman" w:hAnsi="Times New Roman" w:cs="Times New Roman"/>
          <w:sz w:val="24"/>
          <w:szCs w:val="24"/>
        </w:rPr>
        <w:t xml:space="preserve"> площадью 13,6 кв.м.;</w:t>
      </w:r>
    </w:p>
    <w:p w:rsidR="008156E0" w:rsidRPr="003557D1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7D1">
        <w:rPr>
          <w:rFonts w:ascii="Times New Roman" w:hAnsi="Times New Roman" w:cs="Times New Roman"/>
          <w:sz w:val="24"/>
          <w:szCs w:val="24"/>
        </w:rPr>
        <w:t xml:space="preserve">- Новая пл. ул., д.8, стр.2 (ООО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57D1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Компаний Русские Рестораны»)</w:t>
      </w:r>
      <w:r w:rsidRPr="003557D1">
        <w:rPr>
          <w:rFonts w:ascii="Times New Roman" w:hAnsi="Times New Roman" w:cs="Times New Roman"/>
          <w:sz w:val="24"/>
          <w:szCs w:val="24"/>
        </w:rPr>
        <w:t xml:space="preserve"> площадью 35,8 кв.м.;</w:t>
      </w:r>
    </w:p>
    <w:p w:rsidR="008156E0" w:rsidRPr="003557D1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Брестская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1-я, д.43 (ООО «Кафе и Бар Брестская») площадью 52,5</w:t>
      </w:r>
      <w:r w:rsidRPr="003557D1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Отказать в согласовании проекта изменения схемы размещения сезонных кафе на территории района в части размещения сезонных кафе при стационарных предприятиях общественного питания, расположенных по адресам: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Тверская, д.12, стр.2 (ООО «Хлеб и Вино-Центр») площадью 30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планируемым размещением на дворовой территории;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2-я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Тверская-Ямская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д.38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Гентэкс</w:t>
      </w:r>
      <w:proofErr w:type="spellEnd"/>
      <w:r>
        <w:rPr>
          <w:rFonts w:ascii="Times New Roman" w:hAnsi="Times New Roman" w:cs="Times New Roman"/>
          <w:sz w:val="24"/>
          <w:szCs w:val="24"/>
        </w:rPr>
        <w:t>») площадью 27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сужением пешеходной зоны;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Тверская, д.18, корп.1 (ООО «Поток Плюс») площадью 30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реконструкцией площади в рамках программы города Москвы «Моя улица», нахождением в 25-ти метровой зоне метрополитена;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Цветной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б-р</w:t>
      </w:r>
      <w:proofErr w:type="spellEnd"/>
      <w:r>
        <w:rPr>
          <w:rFonts w:ascii="Times New Roman" w:hAnsi="Times New Roman" w:cs="Times New Roman"/>
          <w:sz w:val="24"/>
          <w:szCs w:val="24"/>
        </w:rPr>
        <w:t>, д.19, стр.5 (ООО «Пион») площадью 127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непредставлением в установленном порядке пакета документов на функционирование стационарного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предприятия общественного питания и отсутствием свободного прохода для пешеходов;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Триумфальная пл., д.4, стр.1 (ООО «Мелос») площадью 112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удаленностью от стационарного предприятия общественного питания;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Согласовать проект изменения схемы размещения сезонных кафе на территории района в части изменения площади размещения сезонных кафе при стационарных предприятиях общественного питания, расположенных по адресам: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Кузнецкий мост, д. 6/3, стр.3 (ООО «Бар Тайм») в части изменения площади размещения с 40,8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39 кв.м;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Чаянова, д.12, стр.1 (ООО «Кофе Хаус,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Экспрессо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Бар») в части изменения площади размещения с 20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18 кв.м;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Б. Дмитровка, д.5/6, стр.3 (ООО «Злата 4») в части изменения площади размещения с 27,3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21,6 кв.м;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Столешников пер., д.6, стр.5 (ООО «Атлант») в части изменения площади размещения с 49,05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52,47 кв.м;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Никольская, д.4/5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ХХ1 век») в части изменения площади размещения с 55,6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16 кв.м;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Б. Дмитровка, д.5/6, стр.3 (ООО «Проза») в части изменения площади размещения с 51,1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52 кв.м;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Никольская, д.4/5 (ООО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Манго») в части изменения площади размещения с 52 кв.м на 34,82 кв.м;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ул. Никольская, д.11-13, стр.5 (ООО «Кофе Хаус.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Экспрессо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Бар») в части изменения площади размещения с 30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34,42 кв.м;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Самотечная, д.13, стр.1 (ООО «Итальянка») в части изменения площади размещения с 50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103 кв.м;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Никольская, д.8/1, стр.1 (ИП Давыдова М.А.) в части изменения площади размещения с 9,6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14,8 кв.м;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Никольская, д.4/5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кафе») в части изменения площади размещения с 76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38,79 кв.м;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Никольская, д.10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Американ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Дайнер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изменения площади размещения с 75,3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81,45 кв.м;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Столешников пер., д.6, стр.1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Бонжур</w:t>
      </w:r>
      <w:proofErr w:type="spellEnd"/>
      <w:r>
        <w:rPr>
          <w:rFonts w:ascii="Times New Roman" w:hAnsi="Times New Roman" w:cs="Times New Roman"/>
          <w:sz w:val="24"/>
          <w:szCs w:val="24"/>
        </w:rPr>
        <w:t>») в части изменения площади размещения с 56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54,3 кв.м;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Отказать в согласовании проекта изменения схемы размещения сезонных кафе на территории района в части изменения площади размещения сезонных кафе при стационарных предприятиях общественного питания, расположенных по адресам: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Камергерский пер., д.3А, стр.2 (БФ «Просвещение ХХ1 век») в части изменения площади размещения с 32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50 кв.м в связи с перекрытием прохода в арку дома;</w:t>
      </w:r>
    </w:p>
    <w:p w:rsidR="008156E0" w:rsidRDefault="008156E0" w:rsidP="008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Кузнецкий мост, д.3, стр.2 (ООО «Ресторатор Плюс») в части изменения площади размещения с 40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50 кв.м в связи с сужением пешеходного прохода при проведении городских ярмарочных мероприятий;</w:t>
      </w:r>
    </w:p>
    <w:p w:rsidR="008156E0" w:rsidRDefault="008156E0" w:rsidP="008156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8156E0" w:rsidRDefault="008156E0" w:rsidP="00815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бюллетене «Московский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56E0" w:rsidRDefault="008156E0" w:rsidP="008156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8156E0" w:rsidRDefault="008156E0" w:rsidP="008156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56E0" w:rsidRDefault="008156E0" w:rsidP="008156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56E0" w:rsidRDefault="008156E0" w:rsidP="008156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полномочия</w:t>
      </w:r>
    </w:p>
    <w:p w:rsidR="008156E0" w:rsidRDefault="008156E0" w:rsidP="008156E0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4"/>
          <w:szCs w:val="24"/>
          <w:lang w:eastAsia="ru-RU"/>
        </w:rPr>
      </w:pPr>
      <w:r>
        <w:rPr>
          <w:bCs w:val="0"/>
          <w:spacing w:val="0"/>
          <w:sz w:val="24"/>
          <w:szCs w:val="24"/>
          <w:lang w:eastAsia="ru-RU"/>
        </w:rPr>
        <w:t xml:space="preserve">главы  муниципального округа Тверской                                                    П.А. Малышев             </w:t>
      </w:r>
    </w:p>
    <w:p w:rsidR="008156E0" w:rsidRDefault="008156E0" w:rsidP="008156E0"/>
    <w:p w:rsidR="002B4F86" w:rsidRPr="008156E0" w:rsidRDefault="002B4F86" w:rsidP="008156E0"/>
    <w:sectPr w:rsidR="002B4F86" w:rsidRPr="008156E0" w:rsidSect="008156E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6E0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6F2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156E0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8156E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56E0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table" w:styleId="a4">
    <w:name w:val="Table Grid"/>
    <w:basedOn w:val="a1"/>
    <w:uiPriority w:val="59"/>
    <w:rsid w:val="0081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815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2016-05-27T12:11:00Z</dcterms:created>
  <dcterms:modified xsi:type="dcterms:W3CDTF">2016-05-27T12:13:00Z</dcterms:modified>
</cp:coreProperties>
</file>